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6A06D" w14:textId="77777777" w:rsidR="003A33B1" w:rsidRPr="006A4C24" w:rsidRDefault="003A33B1" w:rsidP="003A33B1">
      <w:pPr>
        <w:ind w:firstLine="426"/>
        <w:contextualSpacing/>
        <w:jc w:val="center"/>
        <w:rPr>
          <w:rFonts w:ascii="Arial Narrow" w:hAnsi="Arial Narrow"/>
          <w:b/>
          <w:color w:val="002060"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6"/>
        <w:gridCol w:w="7317"/>
      </w:tblGrid>
      <w:tr w:rsidR="003A33B1" w:rsidRPr="00C84432" w14:paraId="66FDDD66" w14:textId="77777777" w:rsidTr="00ED0376">
        <w:tc>
          <w:tcPr>
            <w:tcW w:w="2802" w:type="dxa"/>
            <w:shd w:val="clear" w:color="auto" w:fill="auto"/>
          </w:tcPr>
          <w:p w14:paraId="0A45301F" w14:textId="566F1E41" w:rsidR="003A33B1" w:rsidRPr="006E10DD" w:rsidRDefault="003A33B1" w:rsidP="00ED0376">
            <w:pPr>
              <w:jc w:val="center"/>
              <w:rPr>
                <w:rFonts w:ascii="Arial Narrow" w:hAnsi="Arial Narrow"/>
                <w:b/>
                <w:bCs/>
                <w:color w:val="C00000"/>
                <w:sz w:val="32"/>
                <w:szCs w:val="32"/>
              </w:rPr>
            </w:pPr>
            <w:r w:rsidRPr="006E10DD">
              <w:rPr>
                <w:rFonts w:ascii="Calibri" w:hAnsi="Calibri"/>
                <w:b/>
                <w:bCs/>
                <w:noProof/>
                <w:color w:val="C00000"/>
                <w:sz w:val="26"/>
                <w:szCs w:val="26"/>
              </w:rPr>
              <w:drawing>
                <wp:inline distT="0" distB="0" distL="0" distR="0" wp14:anchorId="5EE8BD8E" wp14:editId="341CF852">
                  <wp:extent cx="20574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4" w:type="dxa"/>
            <w:shd w:val="clear" w:color="auto" w:fill="auto"/>
          </w:tcPr>
          <w:p w14:paraId="1B53C36C" w14:textId="77777777" w:rsidR="003A33B1" w:rsidRPr="00C84432" w:rsidRDefault="003A33B1" w:rsidP="00ED0376">
            <w:pPr>
              <w:jc w:val="right"/>
              <w:rPr>
                <w:b/>
                <w:bCs/>
                <w:color w:val="767171"/>
                <w:sz w:val="30"/>
                <w:szCs w:val="30"/>
                <w:lang w:eastAsia="x-none"/>
              </w:rPr>
            </w:pPr>
            <w:r w:rsidRPr="00C84432">
              <w:rPr>
                <w:b/>
                <w:bCs/>
                <w:color w:val="767171"/>
                <w:sz w:val="30"/>
                <w:szCs w:val="30"/>
                <w:lang w:val="x-none" w:eastAsia="x-none"/>
              </w:rPr>
              <w:t>Центр Бизнес – Образования</w:t>
            </w:r>
            <w:r w:rsidRPr="00C84432">
              <w:rPr>
                <w:b/>
                <w:bCs/>
                <w:color w:val="767171"/>
                <w:sz w:val="30"/>
                <w:szCs w:val="30"/>
                <w:lang w:eastAsia="x-none"/>
              </w:rPr>
              <w:t xml:space="preserve"> «</w:t>
            </w:r>
            <w:r w:rsidRPr="00C84432">
              <w:rPr>
                <w:b/>
                <w:bCs/>
                <w:color w:val="767171"/>
                <w:sz w:val="30"/>
                <w:szCs w:val="30"/>
                <w:lang w:val="x-none" w:eastAsia="x-none"/>
              </w:rPr>
              <w:t>Сибсеминар</w:t>
            </w:r>
            <w:r w:rsidRPr="00C84432">
              <w:rPr>
                <w:b/>
                <w:bCs/>
                <w:color w:val="767171"/>
                <w:sz w:val="30"/>
                <w:szCs w:val="30"/>
                <w:lang w:eastAsia="x-none"/>
              </w:rPr>
              <w:t>»</w:t>
            </w:r>
          </w:p>
          <w:p w14:paraId="777CB583" w14:textId="77777777" w:rsidR="003A33B1" w:rsidRDefault="003A33B1" w:rsidP="00ED0376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г. Новосибирск ул. Октябрьская 42 офис 52</w:t>
            </w:r>
            <w:r w:rsidRPr="005C7797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1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</w:t>
            </w:r>
          </w:p>
          <w:p w14:paraId="064C5409" w14:textId="77777777" w:rsidR="003A33B1" w:rsidRPr="00C84432" w:rsidRDefault="003A33B1" w:rsidP="00ED0376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г. 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Москва Армянский переулок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9 стр 1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офис 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410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</w:t>
            </w:r>
          </w:p>
          <w:p w14:paraId="3940910C" w14:textId="77777777" w:rsidR="003A33B1" w:rsidRDefault="003A33B1" w:rsidP="00ED0376">
            <w:pPr>
              <w:jc w:val="right"/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     тел./факс +7(383) 335-71-</w:t>
            </w:r>
            <w:proofErr w:type="gramStart"/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05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, 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 +</w:t>
            </w:r>
            <w:proofErr w:type="gramEnd"/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7(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495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) </w:t>
            </w:r>
            <w:r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109</w:t>
            </w: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>-71-05</w:t>
            </w:r>
          </w:p>
          <w:p w14:paraId="7D09408A" w14:textId="77777777" w:rsidR="003A33B1" w:rsidRPr="00C84432" w:rsidRDefault="003A33B1" w:rsidP="00ED0376">
            <w:pPr>
              <w:jc w:val="right"/>
              <w:rPr>
                <w:rFonts w:ascii="Arial Narrow" w:hAnsi="Arial Narrow"/>
                <w:b/>
                <w:bCs/>
                <w:color w:val="C80000"/>
                <w:sz w:val="32"/>
                <w:szCs w:val="32"/>
              </w:rPr>
            </w:pPr>
            <w:r w:rsidRPr="00C84432">
              <w:rPr>
                <w:b/>
                <w:bCs/>
                <w:i/>
                <w:color w:val="767171"/>
                <w:sz w:val="22"/>
                <w:szCs w:val="22"/>
                <w:lang w:eastAsia="x-none"/>
              </w:rPr>
              <w:t xml:space="preserve">www.sibseminar.ru         info@sibseminar.ru  </w:t>
            </w:r>
          </w:p>
        </w:tc>
      </w:tr>
    </w:tbl>
    <w:p w14:paraId="413D67CA" w14:textId="77777777" w:rsidR="00E86BE0" w:rsidRDefault="003A33B1" w:rsidP="00E86BE0">
      <w:pPr>
        <w:jc w:val="both"/>
        <w:rPr>
          <w:rFonts w:ascii="Arial Narrow" w:hAnsi="Arial Narrow"/>
          <w:b/>
          <w:color w:val="C80000"/>
          <w:sz w:val="28"/>
          <w:szCs w:val="28"/>
        </w:rPr>
      </w:pPr>
      <w:r>
        <w:rPr>
          <w:rFonts w:ascii="Arial Narrow" w:hAnsi="Arial Narrow"/>
          <w:b/>
          <w:noProof/>
          <w:color w:val="C8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57C27" wp14:editId="287ADB5E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806565" cy="45085"/>
                <wp:effectExtent l="2540" t="1270" r="127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565" cy="4508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CE52D" w14:textId="77777777" w:rsidR="003A33B1" w:rsidRDefault="003A33B1" w:rsidP="003A33B1">
                            <w:pPr>
                              <w:ind w:right="-117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57C27" id="Прямоугольник 2" o:spid="_x0000_s1026" style="position:absolute;left:0;text-align:left;margin-left:5.6pt;margin-top:5.3pt;width:535.9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" fillcolor="#a5a5a5" stroked="f">
                <v:textbox>
                  <w:txbxContent>
                    <w:p w14:paraId="21BCE52D" w14:textId="77777777" w:rsidR="003A33B1" w:rsidRDefault="003A33B1" w:rsidP="003A33B1">
                      <w:pPr>
                        <w:ind w:right="-11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C9476FA" w14:textId="0CF1145A" w:rsidR="00C40302" w:rsidRPr="00E86BE0" w:rsidRDefault="00C40302" w:rsidP="00C40302">
      <w:pPr>
        <w:jc w:val="center"/>
        <w:rPr>
          <w:rFonts w:ascii="Arial Narrow" w:hAnsi="Arial Narrow"/>
          <w:b/>
          <w:color w:val="C80000"/>
          <w:sz w:val="28"/>
          <w:szCs w:val="28"/>
        </w:rPr>
      </w:pPr>
      <w:r>
        <w:rPr>
          <w:b/>
          <w:color w:val="404040" w:themeColor="text1" w:themeTint="BF"/>
          <w:sz w:val="24"/>
          <w:szCs w:val="24"/>
          <w:u w:val="single"/>
        </w:rPr>
        <w:t>1</w:t>
      </w:r>
      <w:r w:rsidR="001775BF">
        <w:rPr>
          <w:b/>
          <w:color w:val="404040" w:themeColor="text1" w:themeTint="BF"/>
          <w:sz w:val="24"/>
          <w:szCs w:val="24"/>
          <w:u w:val="single"/>
        </w:rPr>
        <w:t>4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февраля 2024</w:t>
      </w:r>
      <w:r w:rsidRPr="003921E5">
        <w:rPr>
          <w:b/>
          <w:color w:val="404040" w:themeColor="text1" w:themeTint="BF"/>
          <w:sz w:val="24"/>
          <w:szCs w:val="24"/>
          <w:u w:val="single"/>
        </w:rPr>
        <w:t xml:space="preserve"> года</w:t>
      </w:r>
      <w:r>
        <w:rPr>
          <w:b/>
          <w:color w:val="404040" w:themeColor="text1" w:themeTint="BF"/>
          <w:sz w:val="24"/>
          <w:szCs w:val="24"/>
          <w:u w:val="single"/>
        </w:rPr>
        <w:t xml:space="preserve"> (10.00-17.00)</w:t>
      </w:r>
    </w:p>
    <w:p w14:paraId="46A532EE" w14:textId="7F5FD50B" w:rsidR="00C40302" w:rsidRPr="003921E5" w:rsidRDefault="00C40302" w:rsidP="00C40302">
      <w:pPr>
        <w:jc w:val="center"/>
        <w:rPr>
          <w:b/>
          <w:color w:val="404040" w:themeColor="text1" w:themeTint="BF"/>
          <w:sz w:val="24"/>
          <w:szCs w:val="24"/>
          <w:u w:val="single"/>
        </w:rPr>
      </w:pPr>
      <w:r w:rsidRPr="003921E5">
        <w:rPr>
          <w:b/>
          <w:color w:val="404040" w:themeColor="text1" w:themeTint="BF"/>
          <w:sz w:val="24"/>
          <w:szCs w:val="24"/>
          <w:u w:val="single"/>
        </w:rPr>
        <w:t xml:space="preserve">г. </w:t>
      </w:r>
      <w:r w:rsidR="001775BF">
        <w:rPr>
          <w:b/>
          <w:color w:val="404040" w:themeColor="text1" w:themeTint="BF"/>
          <w:sz w:val="24"/>
          <w:szCs w:val="24"/>
          <w:u w:val="single"/>
        </w:rPr>
        <w:t>Хабаровск</w:t>
      </w:r>
      <w:r w:rsidRPr="003921E5">
        <w:rPr>
          <w:color w:val="404040" w:themeColor="text1" w:themeTint="BF"/>
          <w:sz w:val="24"/>
          <w:szCs w:val="24"/>
          <w:u w:val="single"/>
        </w:rPr>
        <w:t xml:space="preserve"> (о месте проведении будет сообщено дополнительно)</w:t>
      </w:r>
    </w:p>
    <w:p w14:paraId="562F3980" w14:textId="6DAEAC0F" w:rsidR="00F30E5B" w:rsidRPr="000F6662" w:rsidRDefault="00F30E5B" w:rsidP="003921E5">
      <w:pPr>
        <w:shd w:val="clear" w:color="auto" w:fill="FFFFFF"/>
        <w:rPr>
          <w:b/>
          <w:color w:val="C00000"/>
          <w:sz w:val="12"/>
          <w:szCs w:val="12"/>
        </w:rPr>
      </w:pPr>
    </w:p>
    <w:p w14:paraId="4BD47CAC" w14:textId="2841D101" w:rsidR="00691AC3" w:rsidRPr="000F6662" w:rsidRDefault="00220343" w:rsidP="00FA001E">
      <w:pPr>
        <w:shd w:val="clear" w:color="auto" w:fill="FFFFFF"/>
        <w:jc w:val="center"/>
        <w:rPr>
          <w:b/>
          <w:color w:val="C00000"/>
          <w:sz w:val="26"/>
          <w:szCs w:val="26"/>
        </w:rPr>
      </w:pPr>
      <w:r w:rsidRPr="000F6662">
        <w:rPr>
          <w:b/>
          <w:color w:val="C00000"/>
          <w:sz w:val="26"/>
          <w:szCs w:val="26"/>
        </w:rPr>
        <w:t>Новое в регулировании земельно-им</w:t>
      </w:r>
      <w:r w:rsidR="000F6662" w:rsidRPr="000F6662">
        <w:rPr>
          <w:b/>
          <w:color w:val="C00000"/>
          <w:sz w:val="26"/>
          <w:szCs w:val="26"/>
        </w:rPr>
        <w:t>ущественных отношений в 2024 году.</w:t>
      </w:r>
    </w:p>
    <w:p w14:paraId="518F5BFE" w14:textId="77777777" w:rsidR="003A33B1" w:rsidRPr="00465DCB" w:rsidRDefault="003A33B1" w:rsidP="003A33B1">
      <w:pPr>
        <w:shd w:val="clear" w:color="auto" w:fill="FFFFFF"/>
        <w:jc w:val="center"/>
        <w:rPr>
          <w:b/>
          <w:color w:val="C00000"/>
          <w:sz w:val="8"/>
          <w:szCs w:val="8"/>
        </w:rPr>
      </w:pPr>
    </w:p>
    <w:p w14:paraId="471B4E63" w14:textId="07319A04" w:rsidR="00335B85" w:rsidRPr="000F6662" w:rsidRDefault="00841B9D" w:rsidP="000F6662">
      <w:pPr>
        <w:pStyle w:val="a3"/>
        <w:tabs>
          <w:tab w:val="left" w:pos="1770"/>
          <w:tab w:val="center" w:pos="4818"/>
        </w:tabs>
        <w:spacing w:before="120" w:after="120" w:line="276" w:lineRule="auto"/>
        <w:ind w:right="27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r w:rsidRPr="000F6662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АВТОР И ВЕДУЩИЙ</w:t>
      </w:r>
      <w:r w:rsidR="003A33B1" w:rsidRPr="000F6662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:</w:t>
      </w:r>
      <w:r w:rsidR="00335B85" w:rsidRPr="000F6662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 xml:space="preserve">  </w:t>
      </w:r>
    </w:p>
    <w:p w14:paraId="299CE733" w14:textId="40D3B8F5" w:rsidR="003A33B1" w:rsidRPr="000F6662" w:rsidRDefault="00335B85" w:rsidP="000F6662">
      <w:pPr>
        <w:pStyle w:val="a3"/>
        <w:tabs>
          <w:tab w:val="left" w:pos="1770"/>
          <w:tab w:val="center" w:pos="4818"/>
        </w:tabs>
        <w:spacing w:before="120" w:after="120" w:line="276" w:lineRule="auto"/>
        <w:ind w:right="27"/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</w:pPr>
      <w:bookmarkStart w:id="0" w:name="_Hlk123031166"/>
      <w:r w:rsidRPr="000F6662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Ч</w:t>
      </w:r>
      <w:r w:rsidR="00064914" w:rsidRPr="000F6662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>УРКИН</w:t>
      </w:r>
      <w:r w:rsidRPr="000F6662">
        <w:rPr>
          <w:rFonts w:ascii="Times New Roman" w:hAnsi="Times New Roman"/>
          <w:b/>
          <w:bCs/>
          <w:color w:val="404040" w:themeColor="text1" w:themeTint="BF"/>
          <w:sz w:val="24"/>
          <w:szCs w:val="24"/>
        </w:rPr>
        <w:t xml:space="preserve"> Владимир Эрнстович</w:t>
      </w:r>
      <w:r w:rsidRPr="000F6662">
        <w:rPr>
          <w:rFonts w:ascii="Times New Roman" w:hAnsi="Times New Roman"/>
          <w:bCs/>
          <w:color w:val="404040" w:themeColor="text1" w:themeTint="BF"/>
          <w:sz w:val="24"/>
          <w:szCs w:val="24"/>
        </w:rPr>
        <w:t xml:space="preserve"> </w:t>
      </w:r>
      <w:r w:rsidR="006249D9" w:rsidRPr="000F6662">
        <w:rPr>
          <w:rFonts w:ascii="Times New Roman" w:hAnsi="Times New Roman"/>
          <w:color w:val="404040" w:themeColor="text1" w:themeTint="BF"/>
          <w:sz w:val="24"/>
          <w:szCs w:val="24"/>
        </w:rPr>
        <w:t>–</w:t>
      </w:r>
      <w:r w:rsidR="003A33B1" w:rsidRPr="000F6662">
        <w:rPr>
          <w:rFonts w:ascii="Times New Roman" w:hAnsi="Times New Roman"/>
          <w:color w:val="404040" w:themeColor="text1" w:themeTint="BF"/>
          <w:sz w:val="24"/>
          <w:szCs w:val="24"/>
        </w:rPr>
        <w:t xml:space="preserve"> </w:t>
      </w:r>
      <w:proofErr w:type="spellStart"/>
      <w:r w:rsidR="006249D9" w:rsidRPr="000F6662">
        <w:rPr>
          <w:rFonts w:ascii="Times New Roman" w:hAnsi="Times New Roman"/>
          <w:color w:val="404040" w:themeColor="text1" w:themeTint="BF"/>
          <w:sz w:val="24"/>
          <w:szCs w:val="24"/>
        </w:rPr>
        <w:t>к.ю.н</w:t>
      </w:r>
      <w:proofErr w:type="spellEnd"/>
      <w:r w:rsidR="006249D9" w:rsidRPr="000F6662">
        <w:rPr>
          <w:rFonts w:ascii="Times New Roman" w:hAnsi="Times New Roman"/>
          <w:color w:val="404040" w:themeColor="text1" w:themeTint="BF"/>
          <w:sz w:val="24"/>
          <w:szCs w:val="24"/>
        </w:rPr>
        <w:t xml:space="preserve">., </w:t>
      </w:r>
      <w:r w:rsidRPr="000F6662">
        <w:rPr>
          <w:rFonts w:ascii="Times New Roman" w:hAnsi="Times New Roman"/>
          <w:color w:val="404040" w:themeColor="text1" w:themeTint="BF"/>
          <w:sz w:val="24"/>
          <w:szCs w:val="24"/>
        </w:rPr>
        <w:t xml:space="preserve">доцент, управляющий партнер ООО </w:t>
      </w:r>
      <w:r w:rsidR="000626F7" w:rsidRPr="000F6662">
        <w:rPr>
          <w:rFonts w:ascii="Times New Roman" w:hAnsi="Times New Roman"/>
          <w:color w:val="404040" w:themeColor="text1" w:themeTint="BF"/>
          <w:sz w:val="24"/>
          <w:szCs w:val="24"/>
        </w:rPr>
        <w:t>«</w:t>
      </w:r>
      <w:r w:rsidR="006249D9" w:rsidRPr="000F6662">
        <w:rPr>
          <w:rFonts w:ascii="Times New Roman" w:hAnsi="Times New Roman"/>
          <w:color w:val="404040" w:themeColor="text1" w:themeTint="BF"/>
          <w:sz w:val="24"/>
          <w:szCs w:val="24"/>
        </w:rPr>
        <w:t>Консалтинговая</w:t>
      </w:r>
      <w:r w:rsidR="005D2A23" w:rsidRPr="000F6662">
        <w:rPr>
          <w:rFonts w:ascii="Times New Roman" w:hAnsi="Times New Roman"/>
          <w:color w:val="404040" w:themeColor="text1" w:themeTint="BF"/>
          <w:sz w:val="24"/>
          <w:szCs w:val="24"/>
        </w:rPr>
        <w:t xml:space="preserve"> группа </w:t>
      </w:r>
      <w:r w:rsidR="000626F7" w:rsidRPr="000F6662">
        <w:rPr>
          <w:rFonts w:ascii="Times New Roman" w:hAnsi="Times New Roman"/>
          <w:color w:val="404040" w:themeColor="text1" w:themeTint="BF"/>
          <w:sz w:val="24"/>
          <w:szCs w:val="24"/>
        </w:rPr>
        <w:t>«З</w:t>
      </w:r>
      <w:r w:rsidR="005D2A23" w:rsidRPr="000F6662">
        <w:rPr>
          <w:rFonts w:ascii="Times New Roman" w:hAnsi="Times New Roman"/>
          <w:color w:val="404040" w:themeColor="text1" w:themeTint="BF"/>
          <w:sz w:val="24"/>
          <w:szCs w:val="24"/>
        </w:rPr>
        <w:t>емля и недвижимость».</w:t>
      </w:r>
    </w:p>
    <w:bookmarkEnd w:id="0"/>
    <w:p w14:paraId="553FAC60" w14:textId="2EC1AF67" w:rsidR="003A33B1" w:rsidRPr="000F6662" w:rsidRDefault="00841B9D" w:rsidP="000F6662">
      <w:pPr>
        <w:spacing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0F6662">
        <w:rPr>
          <w:b/>
          <w:color w:val="404040" w:themeColor="text1" w:themeTint="BF"/>
          <w:sz w:val="24"/>
          <w:szCs w:val="24"/>
        </w:rPr>
        <w:t>ПРОГРАММА СЕМИНАРА:</w:t>
      </w:r>
    </w:p>
    <w:p w14:paraId="05E1E37E" w14:textId="77777777" w:rsidR="00220343" w:rsidRPr="000F6662" w:rsidRDefault="00F30E5B" w:rsidP="000F6662">
      <w:pPr>
        <w:spacing w:before="120" w:after="120" w:line="276" w:lineRule="auto"/>
        <w:jc w:val="both"/>
        <w:outlineLvl w:val="2"/>
        <w:rPr>
          <w:color w:val="404040" w:themeColor="text1" w:themeTint="BF"/>
          <w:sz w:val="24"/>
          <w:szCs w:val="24"/>
        </w:rPr>
      </w:pPr>
      <w:r w:rsidRPr="000F6662">
        <w:rPr>
          <w:b/>
          <w:sz w:val="24"/>
          <w:szCs w:val="24"/>
        </w:rPr>
        <w:t xml:space="preserve">1. </w:t>
      </w:r>
      <w:r w:rsidR="00220343" w:rsidRPr="000F6662">
        <w:rPr>
          <w:b/>
          <w:sz w:val="24"/>
          <w:szCs w:val="24"/>
        </w:rPr>
        <w:t xml:space="preserve">Основные тенденции изменения законодательства в сфере образования, учета и оборота недвижимого имущества. </w:t>
      </w:r>
      <w:r w:rsidR="00220343" w:rsidRPr="000F6662">
        <w:rPr>
          <w:color w:val="404040" w:themeColor="text1" w:themeTint="BF"/>
          <w:sz w:val="24"/>
          <w:szCs w:val="24"/>
        </w:rPr>
        <w:t>Анализ последних принятых нормативно-правовых актов в сфере земельно-имущественных отношений.</w:t>
      </w:r>
    </w:p>
    <w:p w14:paraId="02973190" w14:textId="77777777" w:rsidR="00220343" w:rsidRPr="000F6662" w:rsidRDefault="00F30E5B" w:rsidP="000F6662">
      <w:pPr>
        <w:spacing w:before="120" w:after="120" w:line="276" w:lineRule="auto"/>
        <w:jc w:val="both"/>
        <w:outlineLvl w:val="2"/>
        <w:rPr>
          <w:sz w:val="24"/>
          <w:szCs w:val="24"/>
        </w:rPr>
      </w:pPr>
      <w:r w:rsidRPr="000F6662">
        <w:rPr>
          <w:b/>
          <w:sz w:val="24"/>
          <w:szCs w:val="24"/>
        </w:rPr>
        <w:t xml:space="preserve">2. </w:t>
      </w:r>
      <w:r w:rsidR="00220343" w:rsidRPr="000F6662">
        <w:rPr>
          <w:b/>
          <w:sz w:val="24"/>
          <w:szCs w:val="24"/>
        </w:rPr>
        <w:t xml:space="preserve">Новые формы и правила государственной регистрации недвижимости. </w:t>
      </w:r>
      <w:r w:rsidR="00220343" w:rsidRPr="000F6662">
        <w:rPr>
          <w:color w:val="404040" w:themeColor="text1" w:themeTint="BF"/>
          <w:sz w:val="24"/>
          <w:szCs w:val="24"/>
        </w:rPr>
        <w:t xml:space="preserve">Расширение границ информационного взаимодействия Росреестра с ГИС. Проблемы иерархии слоёв информации в ГИС при принятии решений регистратором. Новые полномочия и функции ППК </w:t>
      </w:r>
      <w:proofErr w:type="spellStart"/>
      <w:r w:rsidR="00220343" w:rsidRPr="000F6662">
        <w:rPr>
          <w:color w:val="404040" w:themeColor="text1" w:themeTint="BF"/>
          <w:sz w:val="24"/>
          <w:szCs w:val="24"/>
        </w:rPr>
        <w:t>Роскадастр</w:t>
      </w:r>
      <w:proofErr w:type="spellEnd"/>
      <w:r w:rsidR="00220343" w:rsidRPr="000F6662">
        <w:rPr>
          <w:color w:val="404040" w:themeColor="text1" w:themeTint="BF"/>
          <w:sz w:val="24"/>
          <w:szCs w:val="24"/>
        </w:rPr>
        <w:t xml:space="preserve"> в 2023 и 2024 годах. Новый подход к уточнению границ земельных участков. Конкуренция процедур комплексных кадастровых работ и планировки территории. Учёт интересов правообладателей объектов недвижимости при проведении комплексных кадастровых работ. Ранее учтенные земельные участки (уточнение границ, устранение пересечения границ, увеличение и уменьшение площади). </w:t>
      </w:r>
      <w:proofErr w:type="spellStart"/>
      <w:r w:rsidR="00220343" w:rsidRPr="000F6662">
        <w:rPr>
          <w:color w:val="404040" w:themeColor="text1" w:themeTint="BF"/>
          <w:sz w:val="24"/>
          <w:szCs w:val="24"/>
        </w:rPr>
        <w:t>Преюдициальность</w:t>
      </w:r>
      <w:proofErr w:type="spellEnd"/>
      <w:r w:rsidR="00220343" w:rsidRPr="000F6662">
        <w:rPr>
          <w:color w:val="404040" w:themeColor="text1" w:themeTint="BF"/>
          <w:sz w:val="24"/>
          <w:szCs w:val="24"/>
        </w:rPr>
        <w:t xml:space="preserve"> при рассмотрении споров по границам земельных участков. Особенности кадастрового учета вновь образованных земельных участков. Образование, раздел, объединение, выдел и перераспределение земельных участков. Особенности кадастрового учета отдельных видов недвижимого имущества. Графическая схема зданий, сооружений, помещений. Сложные случаи госрегистрации ЗУ. Госрегистрация прав на ЗУ в силу приобретательной давности: практические проблемы правоприменения. Реестровые ошибки: особенности исправления в административном и судебном порядке. Судебная практика обжалования решений Росреестра. Особенности исполнительного </w:t>
      </w:r>
      <w:r w:rsidR="00220343" w:rsidRPr="000F6662">
        <w:rPr>
          <w:sz w:val="24"/>
          <w:szCs w:val="24"/>
        </w:rPr>
        <w:t xml:space="preserve">производства. </w:t>
      </w:r>
    </w:p>
    <w:p w14:paraId="7AC66409" w14:textId="5222D302" w:rsidR="00691AC3" w:rsidRPr="000F6662" w:rsidRDefault="00F30E5B" w:rsidP="000F6662">
      <w:pPr>
        <w:spacing w:before="120" w:after="120" w:line="276" w:lineRule="auto"/>
        <w:jc w:val="both"/>
        <w:outlineLvl w:val="2"/>
        <w:rPr>
          <w:sz w:val="24"/>
          <w:szCs w:val="24"/>
        </w:rPr>
      </w:pPr>
      <w:r w:rsidRPr="000F6662">
        <w:rPr>
          <w:b/>
          <w:sz w:val="24"/>
          <w:szCs w:val="24"/>
        </w:rPr>
        <w:t xml:space="preserve">3. </w:t>
      </w:r>
      <w:r w:rsidR="00220343" w:rsidRPr="000F6662">
        <w:rPr>
          <w:b/>
          <w:sz w:val="24"/>
          <w:szCs w:val="24"/>
        </w:rPr>
        <w:t>Правовой режим недвижимого имущества в 2024 году.</w:t>
      </w:r>
      <w:r w:rsidRPr="000F6662">
        <w:rPr>
          <w:sz w:val="24"/>
          <w:szCs w:val="24"/>
        </w:rPr>
        <w:t xml:space="preserve"> </w:t>
      </w:r>
      <w:r w:rsidR="00220343" w:rsidRPr="000F6662">
        <w:rPr>
          <w:sz w:val="24"/>
          <w:szCs w:val="24"/>
        </w:rPr>
        <w:t xml:space="preserve">Новые </w:t>
      </w:r>
      <w:r w:rsidR="00220343" w:rsidRPr="000F6662">
        <w:rPr>
          <w:color w:val="404040" w:themeColor="text1" w:themeTint="BF"/>
          <w:sz w:val="24"/>
          <w:szCs w:val="24"/>
        </w:rPr>
        <w:t xml:space="preserve">нормы о праве собственности и других </w:t>
      </w:r>
      <w:r w:rsidR="00220343" w:rsidRPr="000F6662">
        <w:rPr>
          <w:sz w:val="24"/>
          <w:szCs w:val="24"/>
        </w:rPr>
        <w:t>вещных правах на здания, сооружения, объекты незавершённого строительства, помещения и машиноместа с 1 января 2024 года. Понятие недвижимого имущества по ГК РФ. Проблема квалификации вещей в качестве недвижимых по нормам ГК РФ, взаимосвязь с понятийным аппаратом других отраслей законодательства (градостроительное законодательство, законодательство о государственной регистрации недвижимости, земельное законодательство). Спорные вопросы квалификации недвижимого имущества. Подход к описанию недвижимости в строительстве и при учётно-регистрационных действиях. Новая практика регулирования создания в процессе строительства некапитальных сооружений в позициях Минстроя РФ. Госрегистрация прав на недвижимое имущество. Вещные права и основания возникновения вещных прав по новым нормам ГК РФ. Формы собственности: на земельные участки, на здания и сооружения, помещения. Судебная практика в отношении учёта, регистрации и распоряжения таунхаусами. Различия блокированной застройки, многоквартирных домов и индивидуальных жилых домов. Малоэтажные жилые комплексы (МЖК) особенности строительства, управления, формирования общего имущества. Применение эскроу-счетов для строительства МЖК. Концепция единого объекта недвижимости: практические проблемы правоприменения и пути их устранения. Добросовестность правообладателей объектов недвижимости. Приобретение права собственности на самовольную постройку. Легализация самостроя.</w:t>
      </w:r>
    </w:p>
    <w:p w14:paraId="622E3D87" w14:textId="77777777" w:rsidR="00220343" w:rsidRPr="000F6662" w:rsidRDefault="00220343" w:rsidP="000F6662">
      <w:pPr>
        <w:spacing w:before="120" w:after="120" w:line="276" w:lineRule="auto"/>
        <w:rPr>
          <w:sz w:val="24"/>
          <w:szCs w:val="24"/>
        </w:rPr>
      </w:pPr>
      <w:r w:rsidRPr="000F6662">
        <w:rPr>
          <w:b/>
          <w:sz w:val="24"/>
          <w:szCs w:val="24"/>
        </w:rPr>
        <w:lastRenderedPageBreak/>
        <w:t xml:space="preserve">4. Зоны с особыми условиями использования территории. </w:t>
      </w:r>
      <w:r w:rsidRPr="000F6662">
        <w:rPr>
          <w:sz w:val="24"/>
          <w:szCs w:val="24"/>
        </w:rPr>
        <w:t xml:space="preserve">Классификация зон с особыми условиями использования территории. Практические проблемы согласования ЗОУИТ при проектировании объектов капитального строительства. Учёт интересов третьих лиц при установлении зон с особыми условиями использования территорий. Практика применения Постановление Правительства РФ № 59 от 27.01.2022 г. о возмещении ущерба при установлении ЗОУИТ.  Возмещение убытков и/или выкуп земельного участка правообладателем объекта, в связи с размещением которого установлена зона с особыми условиями использования территории. Переходный период по установлению ЗОУИТ до 2025 г., вероятные ЗОИУТ, продление учёта которых будет осуществлено до 2028 г. и до 2031 г. Возмещение неудобств использования недвижимости после установления обременения, влияние ЗОУИТ на кадастровую оценку. </w:t>
      </w:r>
    </w:p>
    <w:p w14:paraId="55290B6F" w14:textId="1956F497" w:rsidR="004A1ACA" w:rsidRPr="000F6662" w:rsidRDefault="00F30E5B" w:rsidP="000F6662">
      <w:pPr>
        <w:spacing w:before="120" w:after="120" w:line="276" w:lineRule="auto"/>
        <w:jc w:val="both"/>
        <w:rPr>
          <w:sz w:val="24"/>
          <w:szCs w:val="24"/>
        </w:rPr>
      </w:pPr>
      <w:r w:rsidRPr="000F6662">
        <w:rPr>
          <w:b/>
          <w:sz w:val="24"/>
          <w:szCs w:val="24"/>
        </w:rPr>
        <w:t>5.</w:t>
      </w:r>
      <w:r w:rsidR="00220343" w:rsidRPr="000F6662">
        <w:rPr>
          <w:b/>
          <w:sz w:val="24"/>
          <w:szCs w:val="24"/>
        </w:rPr>
        <w:t xml:space="preserve"> Новое в кадастровой оценке недвижимости. </w:t>
      </w:r>
      <w:r w:rsidR="00220343" w:rsidRPr="000F6662">
        <w:rPr>
          <w:sz w:val="24"/>
          <w:szCs w:val="24"/>
        </w:rPr>
        <w:t>Результаты сплошной кадастровой оценки земель в 2022 году и объектов капитального строительства (ОКС) в 2023 году. Возникающие спорные ситуации по объектам оценки применительно к ОКС. Переходный период снижения кадастровой стоимости в 2024-2026 гг. Порядок кадастровой оценки ЗУ и иных объектов недвижимости, специально созданными в регионах государственными бюджетными учреждениями: практика, проблемные вопросы. Практические особенности применения, комбинирования и сочетания различных методов оценки земельных участков и ОКСов. Ошибки при определении кадастровой стоимости и способы их исправления. Рыночная оценка ЗУ для целей пересмотра кадастровой стоимости. Подбор и применимость аналогов, сопоставимых с объектом оценки. Раздельная оценка ОКСов и ЗУ под ними. Дата определения кадастровой стоимости объектов недвижимости и дата применения кадастровой стоимости, установленной в размере рыночной. Перспективы изменения правил государственной кадастровой оценки недвижимости.</w:t>
      </w:r>
    </w:p>
    <w:p w14:paraId="70753226" w14:textId="3BAC6D72" w:rsidR="00220343" w:rsidRPr="000F6662" w:rsidRDefault="00220343" w:rsidP="000F6662">
      <w:pPr>
        <w:spacing w:before="120" w:after="120" w:line="276" w:lineRule="auto"/>
        <w:jc w:val="both"/>
        <w:outlineLvl w:val="2"/>
        <w:rPr>
          <w:sz w:val="24"/>
          <w:szCs w:val="24"/>
        </w:rPr>
      </w:pPr>
      <w:r w:rsidRPr="000F6662">
        <w:rPr>
          <w:b/>
          <w:sz w:val="24"/>
          <w:szCs w:val="24"/>
        </w:rPr>
        <w:t>6. Новое в регулировании общего имущества.</w:t>
      </w:r>
      <w:r w:rsidRPr="000F6662">
        <w:rPr>
          <w:sz w:val="24"/>
          <w:szCs w:val="24"/>
        </w:rPr>
        <w:t xml:space="preserve"> (Федеральный закон от 04.08.2023 № 441-ФЗ, Федеральный закон от 04.08.2023 № 434-ФЗ). Сочетание правового режима индивидуальной и общей собственности в отношении недвижимости. Новые правила принятия решений по управлению общим имуществом по правилам ГК РФ с 15.08.2023 г. Новые правила смены управляющей компании многоквартирным домом. Возможности обособления частей общего имущества для использования его в хозяйственной деятельности и условия законности данного обособления. Особенности раздела нежилых зданий в 2024 г. Особенности образования и оборота частей зданий и помещений. Реконструкция и перепланировка объектов капитального строительства, и учет изменений технических характеристик ОКС. Судебно-арбитражная практика оспаривания отказов Росреестра по образованию объектов недвижимости и изменению характеристик существующих объектов недвижимости.</w:t>
      </w:r>
    </w:p>
    <w:p w14:paraId="18052A8C" w14:textId="1C113B81" w:rsidR="00220343" w:rsidRPr="000F6662" w:rsidRDefault="00220343" w:rsidP="000F6662">
      <w:pPr>
        <w:spacing w:before="120" w:after="120" w:line="276" w:lineRule="auto"/>
        <w:jc w:val="both"/>
        <w:outlineLvl w:val="2"/>
        <w:rPr>
          <w:color w:val="404040" w:themeColor="text1" w:themeTint="BF"/>
          <w:sz w:val="24"/>
          <w:szCs w:val="24"/>
        </w:rPr>
      </w:pPr>
      <w:r w:rsidRPr="000F6662">
        <w:rPr>
          <w:b/>
          <w:sz w:val="24"/>
          <w:szCs w:val="24"/>
        </w:rPr>
        <w:t xml:space="preserve">7. Новые правила первичного учёта законченных строительством зданий и сооружений. </w:t>
      </w:r>
      <w:r w:rsidRPr="000F6662">
        <w:rPr>
          <w:sz w:val="24"/>
          <w:szCs w:val="24"/>
        </w:rPr>
        <w:t xml:space="preserve">Возможность корректировки разрешения на ввод в эксплуатацию в целях реализации инвестиционного проекта. Особенности ввода в эксплуатацию здания, расположенного на нескольких земельных участках. Установление единого правила судьбы построенного объекта недвижимости в ГК РФ. Строительство зданий в результате договора о совместной деятельности или простого товарищества. Новые правила регулирования и учёта объектов незавершённого строительства </w:t>
      </w:r>
      <w:r w:rsidRPr="000F6662">
        <w:rPr>
          <w:color w:val="404040" w:themeColor="text1" w:themeTint="BF"/>
          <w:sz w:val="24"/>
          <w:szCs w:val="24"/>
        </w:rPr>
        <w:t>(ОНС). Объекты незавершённого строительства (признаки недвижимости, права на земельные участки для завершения строительства, принудительная реализация ОНС). Ведение реестров ОНС, созданных с привлечением бюджетных средств. Завершения строительства ОНС и распределение окончательных площадей при кадастровом учёте. Особенности завершения строительства ОНС, приобретённых застройщиком на публичных торгах. Границы изменений проектной документации и назначения ОНС новым застройщиком. Судебно-арбитражная практика оспаривания отказов во вводе в эксплуатацию законченных строительством объектов недвижимости.</w:t>
      </w:r>
    </w:p>
    <w:p w14:paraId="0DFBD636" w14:textId="4605E5BB" w:rsidR="00C40302" w:rsidRPr="000F6662" w:rsidRDefault="00C40302" w:rsidP="000F6662">
      <w:pPr>
        <w:spacing w:line="276" w:lineRule="auto"/>
        <w:jc w:val="both"/>
        <w:outlineLvl w:val="2"/>
        <w:rPr>
          <w:color w:val="404040" w:themeColor="text1" w:themeTint="BF"/>
          <w:sz w:val="24"/>
          <w:szCs w:val="24"/>
        </w:rPr>
      </w:pPr>
    </w:p>
    <w:p w14:paraId="18E039D7" w14:textId="77777777" w:rsidR="000F6662" w:rsidRDefault="000F6662" w:rsidP="000F6662">
      <w:pPr>
        <w:pStyle w:val="2"/>
        <w:tabs>
          <w:tab w:val="left" w:pos="525"/>
          <w:tab w:val="center" w:pos="5400"/>
        </w:tabs>
        <w:spacing w:line="276" w:lineRule="auto"/>
        <w:jc w:val="both"/>
        <w:rPr>
          <w:color w:val="404040" w:themeColor="text1" w:themeTint="BF"/>
          <w:szCs w:val="24"/>
          <w:lang w:val="ru-RU"/>
        </w:rPr>
      </w:pPr>
    </w:p>
    <w:p w14:paraId="41440599" w14:textId="77777777" w:rsidR="000F6662" w:rsidRDefault="000F6662" w:rsidP="000F6662">
      <w:pPr>
        <w:pStyle w:val="2"/>
        <w:tabs>
          <w:tab w:val="left" w:pos="525"/>
          <w:tab w:val="center" w:pos="5400"/>
        </w:tabs>
        <w:spacing w:line="276" w:lineRule="auto"/>
        <w:jc w:val="both"/>
        <w:rPr>
          <w:color w:val="404040" w:themeColor="text1" w:themeTint="BF"/>
          <w:szCs w:val="24"/>
          <w:lang w:val="ru-RU"/>
        </w:rPr>
      </w:pPr>
    </w:p>
    <w:p w14:paraId="7923A8DE" w14:textId="77777777" w:rsidR="000F6662" w:rsidRDefault="000F6662" w:rsidP="000F6662">
      <w:pPr>
        <w:pStyle w:val="2"/>
        <w:tabs>
          <w:tab w:val="left" w:pos="525"/>
          <w:tab w:val="center" w:pos="5400"/>
        </w:tabs>
        <w:spacing w:line="276" w:lineRule="auto"/>
        <w:jc w:val="both"/>
        <w:rPr>
          <w:color w:val="404040" w:themeColor="text1" w:themeTint="BF"/>
          <w:szCs w:val="24"/>
          <w:lang w:val="ru-RU"/>
        </w:rPr>
      </w:pPr>
    </w:p>
    <w:p w14:paraId="2FA47C0C" w14:textId="6B1151D0" w:rsidR="000F6662" w:rsidRDefault="000F6662" w:rsidP="000F6662">
      <w:pPr>
        <w:pStyle w:val="2"/>
        <w:tabs>
          <w:tab w:val="left" w:pos="525"/>
          <w:tab w:val="center" w:pos="5400"/>
        </w:tabs>
        <w:spacing w:line="276" w:lineRule="auto"/>
        <w:jc w:val="both"/>
        <w:rPr>
          <w:color w:val="404040" w:themeColor="text1" w:themeTint="BF"/>
          <w:szCs w:val="24"/>
          <w:lang w:val="ru-RU"/>
        </w:rPr>
      </w:pPr>
    </w:p>
    <w:p w14:paraId="7DE8098B" w14:textId="08EE0E3A" w:rsidR="00C40302" w:rsidRPr="000F6662" w:rsidRDefault="00C40302" w:rsidP="000F6662">
      <w:pPr>
        <w:pStyle w:val="2"/>
        <w:tabs>
          <w:tab w:val="left" w:pos="525"/>
          <w:tab w:val="center" w:pos="5400"/>
        </w:tabs>
        <w:spacing w:line="276" w:lineRule="auto"/>
        <w:jc w:val="both"/>
        <w:rPr>
          <w:color w:val="404040" w:themeColor="text1" w:themeTint="BF"/>
          <w:szCs w:val="24"/>
          <w:lang w:val="ru-RU"/>
        </w:rPr>
      </w:pPr>
      <w:r w:rsidRPr="000F6662">
        <w:rPr>
          <w:color w:val="404040" w:themeColor="text1" w:themeTint="BF"/>
          <w:szCs w:val="24"/>
          <w:lang w:val="ru-RU"/>
        </w:rPr>
        <w:lastRenderedPageBreak/>
        <w:t>УСЛОВИЯ УЧАСТИЯ</w:t>
      </w:r>
    </w:p>
    <w:p w14:paraId="49C326F6" w14:textId="77777777" w:rsidR="00C40302" w:rsidRPr="000F6662" w:rsidRDefault="00C40302" w:rsidP="000F6662">
      <w:pPr>
        <w:pStyle w:val="2"/>
        <w:tabs>
          <w:tab w:val="left" w:pos="525"/>
          <w:tab w:val="center" w:pos="5400"/>
        </w:tabs>
        <w:spacing w:line="276" w:lineRule="auto"/>
        <w:jc w:val="both"/>
        <w:rPr>
          <w:i/>
          <w:color w:val="404040" w:themeColor="text1" w:themeTint="BF"/>
          <w:sz w:val="12"/>
          <w:szCs w:val="12"/>
        </w:rPr>
      </w:pPr>
    </w:p>
    <w:p w14:paraId="5EBA82CF" w14:textId="4740EA46" w:rsidR="00C40302" w:rsidRPr="000F6662" w:rsidRDefault="00C40302" w:rsidP="000F6662">
      <w:pPr>
        <w:spacing w:line="360" w:lineRule="auto"/>
        <w:jc w:val="both"/>
        <w:rPr>
          <w:b/>
          <w:i/>
          <w:color w:val="404040" w:themeColor="text1" w:themeTint="BF"/>
          <w:sz w:val="24"/>
          <w:szCs w:val="24"/>
        </w:rPr>
      </w:pPr>
      <w:r w:rsidRPr="000F6662">
        <w:rPr>
          <w:b/>
          <w:i/>
          <w:color w:val="404040" w:themeColor="text1" w:themeTint="BF"/>
          <w:sz w:val="24"/>
          <w:szCs w:val="24"/>
        </w:rPr>
        <w:t xml:space="preserve">При оплате </w:t>
      </w:r>
      <w:r w:rsidRPr="000F6662">
        <w:rPr>
          <w:b/>
          <w:i/>
          <w:color w:val="C00000"/>
          <w:sz w:val="24"/>
          <w:szCs w:val="24"/>
          <w:u w:val="single"/>
        </w:rPr>
        <w:t xml:space="preserve">до 31 января 2024 года – </w:t>
      </w:r>
      <w:r w:rsidR="001775BF">
        <w:rPr>
          <w:b/>
          <w:i/>
          <w:color w:val="C00000"/>
          <w:sz w:val="24"/>
          <w:szCs w:val="24"/>
          <w:u w:val="single"/>
        </w:rPr>
        <w:t>20500</w:t>
      </w:r>
      <w:r w:rsidR="003F65DE">
        <w:rPr>
          <w:b/>
          <w:i/>
          <w:color w:val="C00000"/>
          <w:sz w:val="24"/>
          <w:szCs w:val="24"/>
          <w:u w:val="single"/>
        </w:rPr>
        <w:t xml:space="preserve"> </w:t>
      </w:r>
      <w:r w:rsidRPr="000F6662">
        <w:rPr>
          <w:b/>
          <w:i/>
          <w:color w:val="C00000"/>
          <w:sz w:val="24"/>
          <w:szCs w:val="24"/>
          <w:u w:val="single"/>
        </w:rPr>
        <w:t>рублей</w:t>
      </w:r>
      <w:r w:rsidRPr="000F6662">
        <w:rPr>
          <w:b/>
          <w:i/>
          <w:color w:val="C00000"/>
          <w:sz w:val="24"/>
          <w:szCs w:val="24"/>
        </w:rPr>
        <w:t xml:space="preserve"> </w:t>
      </w:r>
      <w:r w:rsidRPr="000F6662">
        <w:rPr>
          <w:b/>
          <w:i/>
          <w:color w:val="404040" w:themeColor="text1" w:themeTint="BF"/>
          <w:sz w:val="24"/>
          <w:szCs w:val="24"/>
        </w:rPr>
        <w:t>(НДС не облагается) за каждого участника.</w:t>
      </w:r>
    </w:p>
    <w:p w14:paraId="34391811" w14:textId="2B7B37A5" w:rsidR="00C40302" w:rsidRPr="000F6662" w:rsidRDefault="00C40302" w:rsidP="000F6662">
      <w:pPr>
        <w:spacing w:line="360" w:lineRule="auto"/>
        <w:jc w:val="both"/>
        <w:rPr>
          <w:b/>
          <w:i/>
          <w:color w:val="404040" w:themeColor="text1" w:themeTint="BF"/>
          <w:sz w:val="24"/>
          <w:szCs w:val="24"/>
        </w:rPr>
      </w:pPr>
      <w:r w:rsidRPr="000F6662">
        <w:rPr>
          <w:b/>
          <w:i/>
          <w:color w:val="404040" w:themeColor="text1" w:themeTint="BF"/>
          <w:sz w:val="24"/>
          <w:szCs w:val="24"/>
        </w:rPr>
        <w:t xml:space="preserve">При оплате </w:t>
      </w:r>
      <w:r w:rsidRPr="000F6662">
        <w:rPr>
          <w:b/>
          <w:i/>
          <w:color w:val="C00000"/>
          <w:sz w:val="24"/>
          <w:szCs w:val="24"/>
          <w:u w:val="single"/>
        </w:rPr>
        <w:t xml:space="preserve">после 31 января 2024 года – </w:t>
      </w:r>
      <w:r w:rsidR="001775BF">
        <w:rPr>
          <w:b/>
          <w:i/>
          <w:color w:val="C00000"/>
          <w:sz w:val="24"/>
          <w:szCs w:val="24"/>
          <w:u w:val="single"/>
        </w:rPr>
        <w:t>21900</w:t>
      </w:r>
      <w:r w:rsidRPr="000F6662">
        <w:rPr>
          <w:b/>
          <w:i/>
          <w:color w:val="C00000"/>
          <w:sz w:val="24"/>
          <w:szCs w:val="24"/>
          <w:u w:val="single"/>
        </w:rPr>
        <w:t xml:space="preserve"> рублей</w:t>
      </w:r>
      <w:r w:rsidRPr="000F6662">
        <w:rPr>
          <w:b/>
          <w:i/>
          <w:color w:val="C00000"/>
          <w:sz w:val="24"/>
          <w:szCs w:val="24"/>
        </w:rPr>
        <w:t xml:space="preserve"> </w:t>
      </w:r>
      <w:r w:rsidRPr="000F6662">
        <w:rPr>
          <w:b/>
          <w:i/>
          <w:color w:val="404040" w:themeColor="text1" w:themeTint="BF"/>
          <w:sz w:val="24"/>
          <w:szCs w:val="24"/>
        </w:rPr>
        <w:t>(НДС не облагается) за каждого участника.</w:t>
      </w:r>
    </w:p>
    <w:p w14:paraId="0D5D07FD" w14:textId="28E38773" w:rsidR="00C40302" w:rsidRPr="000F6662" w:rsidRDefault="00C40302" w:rsidP="000F6662">
      <w:pPr>
        <w:spacing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0F6662">
        <w:rPr>
          <w:b/>
          <w:color w:val="404040" w:themeColor="text1" w:themeTint="BF"/>
          <w:sz w:val="24"/>
          <w:szCs w:val="24"/>
        </w:rPr>
        <w:t xml:space="preserve">Регистрационный взнос включает в себя: </w:t>
      </w:r>
      <w:r w:rsidR="00ED3E8D">
        <w:rPr>
          <w:b/>
          <w:color w:val="404040" w:themeColor="text1" w:themeTint="BF"/>
          <w:sz w:val="24"/>
          <w:szCs w:val="24"/>
        </w:rPr>
        <w:t xml:space="preserve">  </w:t>
      </w:r>
    </w:p>
    <w:p w14:paraId="45083726" w14:textId="4511411C" w:rsidR="00C40302" w:rsidRPr="000F6662" w:rsidRDefault="00C40302" w:rsidP="000F6662">
      <w:pPr>
        <w:numPr>
          <w:ilvl w:val="0"/>
          <w:numId w:val="1"/>
        </w:numPr>
        <w:spacing w:line="276" w:lineRule="auto"/>
        <w:jc w:val="both"/>
        <w:rPr>
          <w:color w:val="404040" w:themeColor="text1" w:themeTint="BF"/>
          <w:sz w:val="24"/>
          <w:szCs w:val="24"/>
        </w:rPr>
      </w:pPr>
      <w:r w:rsidRPr="000F6662">
        <w:rPr>
          <w:color w:val="404040" w:themeColor="text1" w:themeTint="BF"/>
          <w:sz w:val="24"/>
          <w:szCs w:val="24"/>
        </w:rPr>
        <w:t>Документ о прохождении обучения</w:t>
      </w:r>
      <w:r w:rsidR="00C25B32">
        <w:rPr>
          <w:color w:val="404040" w:themeColor="text1" w:themeTint="BF"/>
          <w:sz w:val="24"/>
          <w:szCs w:val="24"/>
        </w:rPr>
        <w:t xml:space="preserve"> </w:t>
      </w:r>
      <w:r w:rsidR="00C25B32" w:rsidRPr="00E608C8">
        <w:rPr>
          <w:color w:val="404040"/>
          <w:sz w:val="24"/>
          <w:szCs w:val="24"/>
        </w:rPr>
        <w:t>(Свидетельство или Удостоверение)</w:t>
      </w:r>
      <w:r w:rsidRPr="000F6662">
        <w:rPr>
          <w:color w:val="404040" w:themeColor="text1" w:themeTint="BF"/>
          <w:sz w:val="24"/>
          <w:szCs w:val="24"/>
        </w:rPr>
        <w:t>;</w:t>
      </w:r>
    </w:p>
    <w:p w14:paraId="67387628" w14:textId="77777777" w:rsidR="00C40302" w:rsidRPr="000F6662" w:rsidRDefault="00C40302" w:rsidP="000F6662">
      <w:pPr>
        <w:numPr>
          <w:ilvl w:val="0"/>
          <w:numId w:val="1"/>
        </w:numPr>
        <w:spacing w:line="276" w:lineRule="auto"/>
        <w:jc w:val="both"/>
        <w:rPr>
          <w:color w:val="404040" w:themeColor="text1" w:themeTint="BF"/>
          <w:sz w:val="24"/>
          <w:szCs w:val="24"/>
        </w:rPr>
      </w:pPr>
      <w:r w:rsidRPr="000F6662">
        <w:rPr>
          <w:color w:val="404040" w:themeColor="text1" w:themeTint="BF"/>
          <w:sz w:val="24"/>
          <w:szCs w:val="24"/>
        </w:rPr>
        <w:t>Лекция одного из ведущих спикеров из Москвы;</w:t>
      </w:r>
    </w:p>
    <w:p w14:paraId="7C19D610" w14:textId="77777777" w:rsidR="00C40302" w:rsidRPr="000F6662" w:rsidRDefault="00C40302" w:rsidP="000F6662">
      <w:pPr>
        <w:numPr>
          <w:ilvl w:val="0"/>
          <w:numId w:val="1"/>
        </w:numPr>
        <w:spacing w:line="276" w:lineRule="auto"/>
        <w:jc w:val="both"/>
        <w:rPr>
          <w:color w:val="404040" w:themeColor="text1" w:themeTint="BF"/>
          <w:sz w:val="24"/>
          <w:szCs w:val="24"/>
        </w:rPr>
      </w:pPr>
      <w:r w:rsidRPr="000F6662">
        <w:rPr>
          <w:color w:val="404040" w:themeColor="text1" w:themeTint="BF"/>
          <w:sz w:val="24"/>
          <w:szCs w:val="24"/>
        </w:rPr>
        <w:t>Комфортные условия;</w:t>
      </w:r>
    </w:p>
    <w:p w14:paraId="0636157C" w14:textId="77777777" w:rsidR="00C40302" w:rsidRPr="000F6662" w:rsidRDefault="00C40302" w:rsidP="000F6662">
      <w:pPr>
        <w:numPr>
          <w:ilvl w:val="0"/>
          <w:numId w:val="1"/>
        </w:numPr>
        <w:spacing w:line="276" w:lineRule="auto"/>
        <w:jc w:val="both"/>
        <w:rPr>
          <w:color w:val="404040" w:themeColor="text1" w:themeTint="BF"/>
          <w:sz w:val="24"/>
          <w:szCs w:val="24"/>
        </w:rPr>
      </w:pPr>
      <w:r w:rsidRPr="000F6662">
        <w:rPr>
          <w:color w:val="404040" w:themeColor="text1" w:themeTint="BF"/>
          <w:sz w:val="24"/>
          <w:szCs w:val="24"/>
        </w:rPr>
        <w:t>Канцелярские принадлежности;</w:t>
      </w:r>
    </w:p>
    <w:p w14:paraId="63E2D84A" w14:textId="77777777" w:rsidR="00C40302" w:rsidRPr="000F6662" w:rsidRDefault="00C40302" w:rsidP="000F6662">
      <w:pPr>
        <w:numPr>
          <w:ilvl w:val="0"/>
          <w:numId w:val="1"/>
        </w:numPr>
        <w:spacing w:line="276" w:lineRule="auto"/>
        <w:jc w:val="both"/>
        <w:rPr>
          <w:color w:val="404040" w:themeColor="text1" w:themeTint="BF"/>
          <w:sz w:val="24"/>
          <w:szCs w:val="24"/>
        </w:rPr>
      </w:pPr>
      <w:r w:rsidRPr="000F6662">
        <w:rPr>
          <w:color w:val="404040" w:themeColor="text1" w:themeTint="BF"/>
          <w:sz w:val="24"/>
          <w:szCs w:val="24"/>
        </w:rPr>
        <w:t>Раздаточный материал;</w:t>
      </w:r>
    </w:p>
    <w:p w14:paraId="1090691A" w14:textId="6A8D39B5" w:rsidR="00C40302" w:rsidRPr="000F6662" w:rsidRDefault="00C40302" w:rsidP="000F6662">
      <w:pPr>
        <w:numPr>
          <w:ilvl w:val="0"/>
          <w:numId w:val="1"/>
        </w:numPr>
        <w:spacing w:line="276" w:lineRule="auto"/>
        <w:jc w:val="both"/>
        <w:rPr>
          <w:color w:val="404040" w:themeColor="text1" w:themeTint="BF"/>
          <w:sz w:val="24"/>
          <w:szCs w:val="24"/>
        </w:rPr>
      </w:pPr>
      <w:r w:rsidRPr="000F6662">
        <w:rPr>
          <w:color w:val="404040" w:themeColor="text1" w:themeTint="BF"/>
          <w:sz w:val="24"/>
          <w:szCs w:val="24"/>
        </w:rPr>
        <w:t>Обеспечение питанием во время</w:t>
      </w:r>
      <w:r w:rsidR="00E8070C" w:rsidRPr="000F6662">
        <w:rPr>
          <w:color w:val="404040" w:themeColor="text1" w:themeTint="BF"/>
          <w:sz w:val="24"/>
          <w:szCs w:val="24"/>
        </w:rPr>
        <w:t xml:space="preserve"> обеда</w:t>
      </w:r>
    </w:p>
    <w:p w14:paraId="0F1CB23C" w14:textId="77777777" w:rsidR="00C40302" w:rsidRPr="000F6662" w:rsidRDefault="00C40302" w:rsidP="000F6662">
      <w:pPr>
        <w:spacing w:line="276" w:lineRule="auto"/>
        <w:jc w:val="both"/>
        <w:rPr>
          <w:sz w:val="24"/>
          <w:szCs w:val="24"/>
        </w:rPr>
      </w:pPr>
    </w:p>
    <w:p w14:paraId="5AEE6C94" w14:textId="77777777" w:rsidR="00C40302" w:rsidRPr="000F6662" w:rsidRDefault="00C40302" w:rsidP="000F6662">
      <w:pPr>
        <w:spacing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0F6662">
        <w:rPr>
          <w:b/>
          <w:color w:val="404040" w:themeColor="text1" w:themeTint="BF"/>
          <w:sz w:val="24"/>
          <w:szCs w:val="24"/>
        </w:rPr>
        <w:t>Для получения Удостоверения по повышению квалификации по теме «Земельно-имущественные отношения» необходимы следующие документы:</w:t>
      </w:r>
    </w:p>
    <w:p w14:paraId="07C8603B" w14:textId="77777777" w:rsidR="00C40302" w:rsidRPr="000F6662" w:rsidRDefault="00C40302" w:rsidP="000F6662">
      <w:pPr>
        <w:spacing w:line="276" w:lineRule="auto"/>
        <w:jc w:val="both"/>
        <w:rPr>
          <w:b/>
          <w:color w:val="C00000"/>
          <w:sz w:val="24"/>
          <w:szCs w:val="24"/>
        </w:rPr>
      </w:pPr>
    </w:p>
    <w:p w14:paraId="2D207194" w14:textId="77777777" w:rsidR="00C40302" w:rsidRPr="000F6662" w:rsidRDefault="00C40302" w:rsidP="000F6662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color w:val="404040" w:themeColor="text1" w:themeTint="BF"/>
          <w:sz w:val="24"/>
          <w:szCs w:val="24"/>
          <w:lang w:val="x-none"/>
        </w:rPr>
      </w:pPr>
      <w:r w:rsidRPr="000F6662">
        <w:rPr>
          <w:color w:val="404040" w:themeColor="text1" w:themeTint="BF"/>
          <w:sz w:val="24"/>
          <w:szCs w:val="24"/>
          <w:lang w:val="x-none"/>
        </w:rPr>
        <w:t>Копия диплома о высшем/среднем профессиональном образовании или справка из учебных заведений для студентов последних курсов;</w:t>
      </w:r>
    </w:p>
    <w:p w14:paraId="50B212CE" w14:textId="77777777" w:rsidR="00C40302" w:rsidRPr="000F6662" w:rsidRDefault="00C40302" w:rsidP="000F6662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color w:val="404040" w:themeColor="text1" w:themeTint="BF"/>
          <w:sz w:val="24"/>
          <w:szCs w:val="24"/>
          <w:lang w:val="x-none"/>
        </w:rPr>
      </w:pPr>
      <w:r w:rsidRPr="000F6662">
        <w:rPr>
          <w:color w:val="404040" w:themeColor="text1" w:themeTint="BF"/>
          <w:sz w:val="24"/>
          <w:szCs w:val="24"/>
          <w:lang w:val="x-none"/>
        </w:rPr>
        <w:t xml:space="preserve">Заявление на зачисление (заполненный </w:t>
      </w:r>
      <w:r w:rsidRPr="000F6662">
        <w:rPr>
          <w:b/>
          <w:color w:val="404040" w:themeColor="text1" w:themeTint="BF"/>
          <w:sz w:val="24"/>
          <w:szCs w:val="24"/>
          <w:lang w:val="x-none"/>
        </w:rPr>
        <w:t>оригинал</w:t>
      </w:r>
      <w:r w:rsidRPr="000F6662">
        <w:rPr>
          <w:color w:val="404040" w:themeColor="text1" w:themeTint="BF"/>
          <w:sz w:val="24"/>
          <w:szCs w:val="24"/>
          <w:lang w:val="x-none"/>
        </w:rPr>
        <w:t xml:space="preserve"> принести на семинар);</w:t>
      </w:r>
    </w:p>
    <w:p w14:paraId="5A885315" w14:textId="77777777" w:rsidR="00C40302" w:rsidRPr="000F6662" w:rsidRDefault="00C40302" w:rsidP="000F6662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color w:val="404040" w:themeColor="text1" w:themeTint="BF"/>
          <w:sz w:val="24"/>
          <w:szCs w:val="24"/>
          <w:lang w:val="x-none"/>
        </w:rPr>
      </w:pPr>
      <w:r w:rsidRPr="000F6662">
        <w:rPr>
          <w:color w:val="404040" w:themeColor="text1" w:themeTint="BF"/>
          <w:sz w:val="24"/>
          <w:szCs w:val="24"/>
          <w:lang w:val="x-none"/>
        </w:rPr>
        <w:t xml:space="preserve">Согласие на обработку персональных данных (заполненный </w:t>
      </w:r>
      <w:r w:rsidRPr="000F6662">
        <w:rPr>
          <w:b/>
          <w:color w:val="404040" w:themeColor="text1" w:themeTint="BF"/>
          <w:sz w:val="24"/>
          <w:szCs w:val="24"/>
          <w:lang w:val="x-none"/>
        </w:rPr>
        <w:t>оригинал</w:t>
      </w:r>
      <w:r w:rsidRPr="000F6662">
        <w:rPr>
          <w:color w:val="404040" w:themeColor="text1" w:themeTint="BF"/>
          <w:sz w:val="24"/>
          <w:szCs w:val="24"/>
          <w:lang w:val="x-none"/>
        </w:rPr>
        <w:t xml:space="preserve"> принести на семинар);</w:t>
      </w:r>
    </w:p>
    <w:p w14:paraId="3AE83C33" w14:textId="77777777" w:rsidR="00C40302" w:rsidRPr="000F6662" w:rsidRDefault="00C40302" w:rsidP="000F6662">
      <w:pPr>
        <w:numPr>
          <w:ilvl w:val="0"/>
          <w:numId w:val="4"/>
        </w:numPr>
        <w:spacing w:line="276" w:lineRule="auto"/>
        <w:ind w:left="426" w:hanging="426"/>
        <w:contextualSpacing/>
        <w:jc w:val="both"/>
        <w:rPr>
          <w:color w:val="404040" w:themeColor="text1" w:themeTint="BF"/>
          <w:sz w:val="24"/>
          <w:szCs w:val="24"/>
          <w:lang w:val="x-none"/>
        </w:rPr>
      </w:pPr>
      <w:r w:rsidRPr="000F6662">
        <w:rPr>
          <w:color w:val="404040" w:themeColor="text1" w:themeTint="BF"/>
          <w:sz w:val="24"/>
          <w:szCs w:val="24"/>
          <w:lang w:val="x-none"/>
        </w:rPr>
        <w:t>Копия свидетельства о браке (при смене фамилии).</w:t>
      </w:r>
    </w:p>
    <w:p w14:paraId="71CD4D62" w14:textId="6925A4C6" w:rsidR="00C40302" w:rsidRPr="000F6662" w:rsidRDefault="00C40302" w:rsidP="000F6662">
      <w:pPr>
        <w:spacing w:line="276" w:lineRule="auto"/>
        <w:rPr>
          <w:color w:val="404040" w:themeColor="text1" w:themeTint="BF"/>
          <w:sz w:val="24"/>
          <w:szCs w:val="24"/>
        </w:rPr>
      </w:pPr>
    </w:p>
    <w:p w14:paraId="6C1E96D2" w14:textId="77777777" w:rsidR="00C40302" w:rsidRPr="000F6662" w:rsidRDefault="00C40302" w:rsidP="000F6662">
      <w:pPr>
        <w:spacing w:line="276" w:lineRule="auto"/>
        <w:rPr>
          <w:color w:val="404040" w:themeColor="text1" w:themeTint="BF"/>
          <w:sz w:val="24"/>
          <w:szCs w:val="24"/>
          <w:lang w:val="x-none" w:eastAsia="x-none"/>
        </w:rPr>
      </w:pPr>
    </w:p>
    <w:p w14:paraId="6C8CD79E" w14:textId="322332E6" w:rsidR="00C40302" w:rsidRPr="000F6662" w:rsidRDefault="00C40302" w:rsidP="000F6662">
      <w:pPr>
        <w:spacing w:line="276" w:lineRule="auto"/>
        <w:jc w:val="both"/>
        <w:rPr>
          <w:b/>
          <w:color w:val="404040" w:themeColor="text1" w:themeTint="BF"/>
          <w:sz w:val="24"/>
          <w:szCs w:val="24"/>
        </w:rPr>
      </w:pPr>
      <w:bookmarkStart w:id="1" w:name="_GoBack"/>
      <w:r w:rsidRPr="000F6662">
        <w:rPr>
          <w:b/>
          <w:color w:val="404040" w:themeColor="text1" w:themeTint="BF"/>
          <w:sz w:val="24"/>
          <w:szCs w:val="24"/>
        </w:rPr>
        <w:t>Пожалуйста, отправьте заполненную форму e-</w:t>
      </w:r>
      <w:proofErr w:type="spellStart"/>
      <w:r w:rsidRPr="000F6662">
        <w:rPr>
          <w:b/>
          <w:color w:val="404040" w:themeColor="text1" w:themeTint="BF"/>
          <w:sz w:val="24"/>
          <w:szCs w:val="24"/>
        </w:rPr>
        <w:t>mail</w:t>
      </w:r>
      <w:proofErr w:type="spellEnd"/>
      <w:r w:rsidRPr="000F6662">
        <w:rPr>
          <w:b/>
          <w:color w:val="404040" w:themeColor="text1" w:themeTint="BF"/>
          <w:sz w:val="24"/>
          <w:szCs w:val="24"/>
        </w:rPr>
        <w:t xml:space="preserve">: </w:t>
      </w:r>
      <w:hyperlink r:id="rId6" w:history="1">
        <w:r w:rsidR="00DD22C0" w:rsidRPr="0052016B">
          <w:rPr>
            <w:rStyle w:val="a8"/>
            <w:rFonts w:eastAsia="Calibri"/>
            <w:b/>
            <w:sz w:val="24"/>
            <w:szCs w:val="24"/>
            <w:lang w:val="en-US"/>
          </w:rPr>
          <w:t>smorodina</w:t>
        </w:r>
        <w:r w:rsidR="00DD22C0" w:rsidRPr="0052016B">
          <w:rPr>
            <w:rStyle w:val="a8"/>
            <w:rFonts w:eastAsia="Calibri"/>
            <w:b/>
            <w:sz w:val="24"/>
            <w:szCs w:val="24"/>
          </w:rPr>
          <w:t>@sib-seminar.ru</w:t>
        </w:r>
      </w:hyperlink>
      <w:r w:rsidRPr="000F6662">
        <w:rPr>
          <w:b/>
          <w:color w:val="404040" w:themeColor="text1" w:themeTint="BF"/>
          <w:sz w:val="24"/>
          <w:szCs w:val="24"/>
        </w:rPr>
        <w:t xml:space="preserve"> или заполните заявку на сайте www.sibseminar.ru.   </w:t>
      </w:r>
    </w:p>
    <w:p w14:paraId="7238C6CD" w14:textId="33AEDF4A" w:rsidR="00C40302" w:rsidRPr="000F6662" w:rsidRDefault="00C40302" w:rsidP="000F6662">
      <w:pPr>
        <w:spacing w:line="276" w:lineRule="auto"/>
        <w:jc w:val="both"/>
        <w:rPr>
          <w:b/>
          <w:color w:val="404040" w:themeColor="text1" w:themeTint="BF"/>
          <w:sz w:val="24"/>
          <w:szCs w:val="24"/>
        </w:rPr>
      </w:pPr>
      <w:r w:rsidRPr="000F6662">
        <w:rPr>
          <w:b/>
          <w:color w:val="404040" w:themeColor="text1" w:themeTint="BF"/>
          <w:sz w:val="24"/>
          <w:szCs w:val="24"/>
        </w:rPr>
        <w:t xml:space="preserve">Ваш персональный менеджер – </w:t>
      </w:r>
      <w:r w:rsidR="00DD22C0">
        <w:rPr>
          <w:b/>
          <w:color w:val="404040" w:themeColor="text1" w:themeTint="BF"/>
          <w:sz w:val="24"/>
          <w:szCs w:val="24"/>
        </w:rPr>
        <w:t>Любовь Максимовна</w:t>
      </w:r>
      <w:r w:rsidRPr="000F6662">
        <w:rPr>
          <w:b/>
          <w:color w:val="404040" w:themeColor="text1" w:themeTint="BF"/>
          <w:sz w:val="24"/>
          <w:szCs w:val="24"/>
        </w:rPr>
        <w:t>, тел. в г. Новосибирске (383) 335-71-05</w:t>
      </w:r>
    </w:p>
    <w:bookmarkEnd w:id="1"/>
    <w:p w14:paraId="072F90CD" w14:textId="77777777" w:rsidR="00C40302" w:rsidRPr="007E03B8" w:rsidRDefault="00C40302" w:rsidP="00C40302">
      <w:pPr>
        <w:jc w:val="both"/>
        <w:rPr>
          <w:b/>
          <w:color w:val="404040" w:themeColor="text1" w:themeTint="BF"/>
          <w:sz w:val="21"/>
          <w:szCs w:val="21"/>
        </w:rPr>
      </w:pPr>
    </w:p>
    <w:p w14:paraId="46D2B25C" w14:textId="77777777" w:rsidR="00C40302" w:rsidRPr="008B239A" w:rsidRDefault="00C40302" w:rsidP="00C40302">
      <w:pPr>
        <w:rPr>
          <w:color w:val="404040" w:themeColor="text1" w:themeTint="BF"/>
        </w:rPr>
      </w:pPr>
    </w:p>
    <w:p w14:paraId="39E41435" w14:textId="77777777" w:rsidR="00C40302" w:rsidRPr="00220343" w:rsidRDefault="00C40302" w:rsidP="00220343">
      <w:pPr>
        <w:spacing w:line="276" w:lineRule="auto"/>
        <w:jc w:val="both"/>
        <w:outlineLvl w:val="2"/>
        <w:rPr>
          <w:color w:val="404040" w:themeColor="text1" w:themeTint="BF"/>
          <w:sz w:val="24"/>
        </w:rPr>
      </w:pPr>
    </w:p>
    <w:p w14:paraId="60EF71B3" w14:textId="204B381B" w:rsidR="00220343" w:rsidRPr="00220343" w:rsidRDefault="00220343" w:rsidP="00220343">
      <w:pPr>
        <w:spacing w:line="276" w:lineRule="auto"/>
        <w:jc w:val="both"/>
        <w:outlineLvl w:val="2"/>
        <w:rPr>
          <w:color w:val="404040" w:themeColor="text1" w:themeTint="BF"/>
          <w:sz w:val="24"/>
        </w:rPr>
      </w:pPr>
    </w:p>
    <w:p w14:paraId="37F20525" w14:textId="538FA630" w:rsidR="00220343" w:rsidRPr="004A1ACA" w:rsidRDefault="00220343" w:rsidP="00220343">
      <w:pPr>
        <w:spacing w:line="276" w:lineRule="auto"/>
        <w:jc w:val="both"/>
        <w:rPr>
          <w:color w:val="404040" w:themeColor="text1" w:themeTint="BF"/>
          <w:sz w:val="23"/>
          <w:szCs w:val="23"/>
        </w:rPr>
      </w:pPr>
    </w:p>
    <w:p w14:paraId="22956CB9" w14:textId="77777777" w:rsidR="00930126" w:rsidRPr="008B239A" w:rsidRDefault="00930126" w:rsidP="00220343">
      <w:pPr>
        <w:spacing w:line="276" w:lineRule="auto"/>
        <w:rPr>
          <w:color w:val="404040" w:themeColor="text1" w:themeTint="BF"/>
        </w:rPr>
      </w:pPr>
    </w:p>
    <w:sectPr w:rsidR="00930126" w:rsidRPr="008B239A" w:rsidSect="000F6662">
      <w:pgSz w:w="11906" w:h="16838" w:code="9"/>
      <w:pgMar w:top="426" w:right="566" w:bottom="142" w:left="56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310C"/>
    <w:multiLevelType w:val="hybridMultilevel"/>
    <w:tmpl w:val="A8F42B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B4C5B"/>
    <w:multiLevelType w:val="hybridMultilevel"/>
    <w:tmpl w:val="19588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859FB"/>
    <w:multiLevelType w:val="hybridMultilevel"/>
    <w:tmpl w:val="28AE068C"/>
    <w:lvl w:ilvl="0" w:tplc="4F62B794">
      <w:start w:val="28"/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8013722"/>
    <w:multiLevelType w:val="hybridMultilevel"/>
    <w:tmpl w:val="87AEA492"/>
    <w:lvl w:ilvl="0" w:tplc="EF8A2E1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7A3"/>
    <w:rsid w:val="00021450"/>
    <w:rsid w:val="000626F7"/>
    <w:rsid w:val="00064914"/>
    <w:rsid w:val="000F6662"/>
    <w:rsid w:val="001775BF"/>
    <w:rsid w:val="00185768"/>
    <w:rsid w:val="00186171"/>
    <w:rsid w:val="001A7A7D"/>
    <w:rsid w:val="001D1C2D"/>
    <w:rsid w:val="001E2EB5"/>
    <w:rsid w:val="00220343"/>
    <w:rsid w:val="00335B85"/>
    <w:rsid w:val="00383B41"/>
    <w:rsid w:val="003921E5"/>
    <w:rsid w:val="003A33B1"/>
    <w:rsid w:val="003F65DE"/>
    <w:rsid w:val="00404A34"/>
    <w:rsid w:val="00416BC6"/>
    <w:rsid w:val="004172C3"/>
    <w:rsid w:val="00427C34"/>
    <w:rsid w:val="004A1ACA"/>
    <w:rsid w:val="004B52CB"/>
    <w:rsid w:val="005D2A23"/>
    <w:rsid w:val="006249D9"/>
    <w:rsid w:val="00691AC3"/>
    <w:rsid w:val="006A4C24"/>
    <w:rsid w:val="007807A3"/>
    <w:rsid w:val="007E03B8"/>
    <w:rsid w:val="00841B9D"/>
    <w:rsid w:val="00857E27"/>
    <w:rsid w:val="00884622"/>
    <w:rsid w:val="008B239A"/>
    <w:rsid w:val="00916A7C"/>
    <w:rsid w:val="00930126"/>
    <w:rsid w:val="00962584"/>
    <w:rsid w:val="009633ED"/>
    <w:rsid w:val="00A131CE"/>
    <w:rsid w:val="00AF7CEE"/>
    <w:rsid w:val="00C25B32"/>
    <w:rsid w:val="00C40302"/>
    <w:rsid w:val="00C51855"/>
    <w:rsid w:val="00C52636"/>
    <w:rsid w:val="00C5634E"/>
    <w:rsid w:val="00C86CE2"/>
    <w:rsid w:val="00CA54A2"/>
    <w:rsid w:val="00DD22C0"/>
    <w:rsid w:val="00E756CC"/>
    <w:rsid w:val="00E8070C"/>
    <w:rsid w:val="00E86BE0"/>
    <w:rsid w:val="00ED3E8D"/>
    <w:rsid w:val="00F30E5B"/>
    <w:rsid w:val="00F7351F"/>
    <w:rsid w:val="00FA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88EC"/>
  <w15:chartTrackingRefBased/>
  <w15:docId w15:val="{CF7427CD-5ADF-4974-9A85-1552C0C0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A33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33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3A33B1"/>
    <w:pPr>
      <w:jc w:val="center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A33B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3">
    <w:basedOn w:val="a"/>
    <w:next w:val="a4"/>
    <w:link w:val="a5"/>
    <w:rsid w:val="003A33B1"/>
    <w:rPr>
      <w:rFonts w:ascii="Verdana" w:hAnsi="Verdana"/>
      <w:sz w:val="11"/>
      <w:szCs w:val="11"/>
    </w:rPr>
  </w:style>
  <w:style w:type="paragraph" w:styleId="a6">
    <w:name w:val="Title"/>
    <w:aliases w:val="Название"/>
    <w:basedOn w:val="a"/>
    <w:link w:val="1"/>
    <w:qFormat/>
    <w:rsid w:val="003A33B1"/>
    <w:pPr>
      <w:jc w:val="center"/>
    </w:pPr>
    <w:rPr>
      <w:sz w:val="28"/>
      <w:szCs w:val="24"/>
      <w:lang w:val="x-none" w:eastAsia="x-none"/>
    </w:rPr>
  </w:style>
  <w:style w:type="character" w:customStyle="1" w:styleId="a7">
    <w:name w:val="Заголовок Знак"/>
    <w:basedOn w:val="a0"/>
    <w:uiPriority w:val="10"/>
    <w:rsid w:val="003A33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8">
    <w:name w:val="Hyperlink"/>
    <w:rsid w:val="003A33B1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3A33B1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1">
    <w:name w:val="Заголовок Знак1"/>
    <w:aliases w:val="Название Знак"/>
    <w:link w:val="a6"/>
    <w:rsid w:val="003A33B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бычный (веб) Знак"/>
    <w:link w:val="a3"/>
    <w:locked/>
    <w:rsid w:val="003A33B1"/>
    <w:rPr>
      <w:rFonts w:ascii="Verdana" w:hAnsi="Verdana"/>
      <w:sz w:val="11"/>
      <w:szCs w:val="11"/>
    </w:rPr>
  </w:style>
  <w:style w:type="character" w:customStyle="1" w:styleId="aa">
    <w:name w:val="Абзац списка Знак"/>
    <w:link w:val="a9"/>
    <w:uiPriority w:val="34"/>
    <w:rsid w:val="003A33B1"/>
    <w:rPr>
      <w:rFonts w:ascii="Times New Roman" w:eastAsia="Calibri" w:hAnsi="Times New Roman" w:cs="Times New Roman"/>
    </w:rPr>
  </w:style>
  <w:style w:type="paragraph" w:styleId="a4">
    <w:name w:val="Normal (Web)"/>
    <w:basedOn w:val="a"/>
    <w:uiPriority w:val="99"/>
    <w:semiHidden/>
    <w:unhideWhenUsed/>
    <w:rsid w:val="003A33B1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172C3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6A4C24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35B8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5B8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DD2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orodina@sib-semin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Smorodina</cp:lastModifiedBy>
  <cp:revision>9</cp:revision>
  <cp:lastPrinted>2023-01-30T03:27:00Z</cp:lastPrinted>
  <dcterms:created xsi:type="dcterms:W3CDTF">2023-12-15T08:22:00Z</dcterms:created>
  <dcterms:modified xsi:type="dcterms:W3CDTF">2024-01-15T00:39:00Z</dcterms:modified>
</cp:coreProperties>
</file>